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0BC3D" w14:textId="77777777" w:rsidR="00EB1FE9" w:rsidRPr="001F50FB" w:rsidRDefault="00EB1FE9" w:rsidP="00EB1FE9">
      <w:pPr>
        <w:keepNext/>
        <w:pageBreakBefore/>
        <w:spacing w:after="120" w:line="276" w:lineRule="auto"/>
        <w:jc w:val="right"/>
        <w:outlineLvl w:val="0"/>
        <w:rPr>
          <w:rFonts w:asciiTheme="minorHAnsi" w:hAnsiTheme="minorHAnsi" w:cstheme="minorHAnsi"/>
          <w:b/>
          <w:bCs/>
          <w:noProof/>
          <w:sz w:val="22"/>
          <w:szCs w:val="22"/>
        </w:rPr>
      </w:pPr>
      <w:r w:rsidRPr="001F50FB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ZAŁĄCZNIK NR 1 DO </w:t>
      </w:r>
      <w:r>
        <w:rPr>
          <w:rFonts w:asciiTheme="minorHAnsi" w:hAnsiTheme="minorHAnsi" w:cstheme="minorHAnsi"/>
          <w:b/>
          <w:bCs/>
          <w:noProof/>
          <w:sz w:val="22"/>
          <w:szCs w:val="22"/>
        </w:rPr>
        <w:t>UMOWY</w:t>
      </w:r>
    </w:p>
    <w:p w14:paraId="174249A1" w14:textId="77777777" w:rsidR="00EB1FE9" w:rsidRPr="001F50FB" w:rsidRDefault="00EB1FE9" w:rsidP="00EB1FE9">
      <w:pPr>
        <w:keepNext/>
        <w:suppressAutoHyphens/>
        <w:spacing w:before="240" w:after="120" w:line="276" w:lineRule="auto"/>
        <w:jc w:val="center"/>
        <w:outlineLvl w:val="0"/>
        <w:rPr>
          <w:rFonts w:asciiTheme="minorHAnsi" w:eastAsia="Droid Sans Fallback" w:hAnsiTheme="minorHAnsi" w:cstheme="minorHAnsi"/>
          <w:b/>
          <w:noProof/>
          <w:color w:val="00000A"/>
          <w:sz w:val="22"/>
          <w:szCs w:val="22"/>
          <w:lang w:eastAsia="zh-CN" w:bidi="hi-IN"/>
        </w:rPr>
      </w:pPr>
      <w:r w:rsidRPr="001F50FB">
        <w:rPr>
          <w:rFonts w:asciiTheme="minorHAnsi" w:eastAsia="Droid Sans Fallback" w:hAnsiTheme="minorHAnsi" w:cstheme="minorHAnsi"/>
          <w:b/>
          <w:noProof/>
          <w:color w:val="00000A"/>
          <w:sz w:val="22"/>
          <w:szCs w:val="22"/>
          <w:lang w:eastAsia="zh-CN" w:bidi="hi-IN"/>
        </w:rPr>
        <w:t>OPIS PRZEDMIOTU ZAMÓWIENIA</w:t>
      </w:r>
    </w:p>
    <w:p w14:paraId="650F5451" w14:textId="77777777" w:rsidR="00EB1FE9" w:rsidRPr="001F50FB" w:rsidRDefault="00EB1FE9" w:rsidP="00EB1FE9">
      <w:pPr>
        <w:keepNext/>
        <w:numPr>
          <w:ilvl w:val="0"/>
          <w:numId w:val="1"/>
        </w:numPr>
        <w:spacing w:before="240" w:after="120"/>
        <w:ind w:left="357" w:hanging="357"/>
        <w:jc w:val="both"/>
        <w:outlineLvl w:val="1"/>
        <w:rPr>
          <w:rFonts w:asciiTheme="minorHAnsi" w:eastAsia="Calibri" w:hAnsiTheme="minorHAnsi" w:cstheme="minorHAnsi"/>
          <w:b/>
          <w:noProof/>
          <w:sz w:val="22"/>
          <w:szCs w:val="22"/>
          <w:lang w:bidi="fa-IR"/>
        </w:rPr>
      </w:pPr>
      <w:r w:rsidRPr="001F50FB">
        <w:rPr>
          <w:rFonts w:asciiTheme="minorHAnsi" w:eastAsia="Calibri" w:hAnsiTheme="minorHAnsi" w:cstheme="minorHAnsi"/>
          <w:b/>
          <w:noProof/>
          <w:sz w:val="22"/>
          <w:szCs w:val="22"/>
          <w:lang w:bidi="fa-IR"/>
        </w:rPr>
        <w:t>Przedmiot zamówienia</w:t>
      </w:r>
    </w:p>
    <w:p w14:paraId="1822956C" w14:textId="0E147EED" w:rsidR="00EB1FE9" w:rsidRPr="001F50FB" w:rsidRDefault="00EB1FE9" w:rsidP="00EB1FE9">
      <w:pPr>
        <w:rPr>
          <w:rFonts w:asciiTheme="minorHAnsi" w:hAnsiTheme="minorHAnsi" w:cstheme="minorHAnsi"/>
          <w:noProof/>
          <w:sz w:val="22"/>
          <w:szCs w:val="22"/>
        </w:rPr>
      </w:pPr>
      <w:r w:rsidRPr="001F50FB">
        <w:rPr>
          <w:rFonts w:asciiTheme="minorHAnsi" w:hAnsiTheme="minorHAnsi" w:cstheme="minorHAnsi"/>
          <w:noProof/>
          <w:sz w:val="22"/>
          <w:szCs w:val="22"/>
        </w:rPr>
        <w:t xml:space="preserve">Przedmiotem zamówienia jest </w:t>
      </w:r>
      <w:sdt>
        <w:sdtPr>
          <w:rPr>
            <w:rFonts w:asciiTheme="minorHAnsi" w:hAnsiTheme="minorHAnsi" w:cstheme="minorHAnsi"/>
            <w:noProof/>
            <w:sz w:val="22"/>
            <w:szCs w:val="22"/>
          </w:rPr>
          <w:alias w:val="Tytuł"/>
          <w:tag w:val=""/>
          <w:id w:val="1210300284"/>
          <w:placeholder>
            <w:docPart w:val="DC0EE8DF826E47DA90BE72F9FD180B2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A3493">
            <w:rPr>
              <w:rFonts w:asciiTheme="minorHAnsi" w:hAnsiTheme="minorHAnsi" w:cstheme="minorHAnsi"/>
              <w:noProof/>
              <w:sz w:val="22"/>
              <w:szCs w:val="22"/>
            </w:rPr>
            <w:t>Rozbudowa obecnie posiadanego środowiska serwerów Blade</w:t>
          </w:r>
        </w:sdtContent>
      </w:sdt>
      <w:r w:rsidRPr="001F50FB">
        <w:rPr>
          <w:rFonts w:asciiTheme="minorHAnsi" w:hAnsiTheme="minorHAnsi" w:cstheme="minorHAnsi"/>
          <w:noProof/>
          <w:sz w:val="22"/>
          <w:szCs w:val="22"/>
        </w:rPr>
        <w:t>, w tym:</w:t>
      </w:r>
    </w:p>
    <w:p w14:paraId="01CB1C97" w14:textId="04E48A82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rozbudowa posiadanej infrastruktury o dodatkową liczbę</w:t>
      </w:r>
      <w:r>
        <w:rPr>
          <w:rFonts w:asciiTheme="minorHAnsi" w:eastAsia="Calibri" w:hAnsiTheme="minorHAnsi" w:cstheme="minorHAnsi"/>
          <w:noProof/>
          <w:sz w:val="22"/>
          <w:szCs w:val="22"/>
        </w:rPr>
        <w:t xml:space="preserve"> 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serwerów Blade TYP</w:t>
      </w:r>
      <w:r w:rsidR="003B0D85">
        <w:rPr>
          <w:rFonts w:asciiTheme="minorHAnsi" w:eastAsia="Calibri" w:hAnsiTheme="minorHAnsi" w:cstheme="minorHAnsi"/>
          <w:noProof/>
          <w:sz w:val="22"/>
          <w:szCs w:val="22"/>
        </w:rPr>
        <w:t xml:space="preserve"> </w:t>
      </w:r>
      <w:r w:rsidR="005835EE">
        <w:rPr>
          <w:rFonts w:asciiTheme="minorHAnsi" w:eastAsia="Calibri" w:hAnsiTheme="minorHAnsi" w:cstheme="minorHAnsi"/>
          <w:noProof/>
          <w:sz w:val="22"/>
          <w:szCs w:val="22"/>
        </w:rPr>
        <w:t xml:space="preserve">1, 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wyszczególnion</w:t>
      </w:r>
      <w:r>
        <w:rPr>
          <w:rFonts w:asciiTheme="minorHAnsi" w:eastAsia="Calibri" w:hAnsiTheme="minorHAnsi" w:cstheme="minorHAnsi"/>
          <w:noProof/>
          <w:sz w:val="22"/>
          <w:szCs w:val="22"/>
        </w:rPr>
        <w:t>ych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 xml:space="preserve"> w tabeli 1;</w:t>
      </w:r>
    </w:p>
    <w:p w14:paraId="76132879" w14:textId="3040D1F6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 xml:space="preserve">dostawa licencji czasowych VMware vSphere Foundation – dla </w:t>
      </w:r>
      <w:r>
        <w:rPr>
          <w:rFonts w:asciiTheme="minorHAnsi" w:eastAsia="Calibri" w:hAnsiTheme="minorHAnsi" w:cstheme="minorHAnsi"/>
          <w:noProof/>
          <w:sz w:val="22"/>
          <w:szCs w:val="22"/>
        </w:rPr>
        <w:t>480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 xml:space="preserve"> rdzeni procesorów na okres 12 miesięcy;</w:t>
      </w:r>
    </w:p>
    <w:p w14:paraId="5804987A" w14:textId="718FF14A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Gwarancja producenta dla dostarczo</w:t>
      </w:r>
      <w:r>
        <w:rPr>
          <w:rFonts w:asciiTheme="minorHAnsi" w:eastAsia="Calibri" w:hAnsiTheme="minorHAnsi" w:cstheme="minorHAnsi"/>
          <w:noProof/>
          <w:sz w:val="22"/>
          <w:szCs w:val="22"/>
        </w:rPr>
        <w:t xml:space="preserve">nych 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serwerów przez okres 60 miesięcy;</w:t>
      </w:r>
    </w:p>
    <w:p w14:paraId="435A572A" w14:textId="161F38FB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 xml:space="preserve">Serwis </w:t>
      </w:r>
      <w:r w:rsidR="000C2AEA">
        <w:rPr>
          <w:rFonts w:asciiTheme="minorHAnsi" w:eastAsia="Calibri" w:hAnsiTheme="minorHAnsi" w:cstheme="minorHAnsi"/>
          <w:noProof/>
          <w:sz w:val="22"/>
          <w:szCs w:val="22"/>
        </w:rPr>
        <w:t>techniczny</w:t>
      </w:r>
      <w:r w:rsidR="000C2AEA" w:rsidRPr="001F50FB">
        <w:rPr>
          <w:rFonts w:asciiTheme="minorHAnsi" w:eastAsia="Calibri" w:hAnsiTheme="minorHAnsi" w:cstheme="minorHAnsi"/>
          <w:noProof/>
          <w:sz w:val="22"/>
          <w:szCs w:val="22"/>
        </w:rPr>
        <w:t xml:space="preserve"> 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Wykonawcy – dla dostarczonych serwerów przez okres 60 m-cy</w:t>
      </w:r>
      <w:r>
        <w:rPr>
          <w:rFonts w:asciiTheme="minorHAnsi" w:eastAsia="Calibri" w:hAnsiTheme="minorHAnsi" w:cstheme="minorHAnsi"/>
          <w:noProof/>
          <w:sz w:val="22"/>
          <w:szCs w:val="22"/>
        </w:rPr>
        <w:t>;</w:t>
      </w:r>
    </w:p>
    <w:p w14:paraId="7BCEADBC" w14:textId="77777777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Serwis oprogramowania VMware w ramach dostarczonych licencji czasowych przez okres 12 miesięcy, licząc od daty wskazanej na protokole odbioru dostawy z wdrożeniem.</w:t>
      </w:r>
    </w:p>
    <w:p w14:paraId="42EC1070" w14:textId="77777777" w:rsidR="00EB1FE9" w:rsidRPr="001F50FB" w:rsidRDefault="00EB1FE9" w:rsidP="00EB1FE9">
      <w:pPr>
        <w:keepNext/>
        <w:numPr>
          <w:ilvl w:val="0"/>
          <w:numId w:val="1"/>
        </w:numPr>
        <w:spacing w:before="240" w:after="120"/>
        <w:ind w:left="357" w:hanging="357"/>
        <w:jc w:val="both"/>
        <w:outlineLvl w:val="1"/>
        <w:rPr>
          <w:rFonts w:asciiTheme="minorHAnsi" w:eastAsia="Calibri" w:hAnsiTheme="minorHAnsi" w:cstheme="minorHAnsi"/>
          <w:b/>
          <w:noProof/>
          <w:sz w:val="22"/>
          <w:szCs w:val="22"/>
          <w:lang w:bidi="fa-IR"/>
        </w:rPr>
      </w:pPr>
      <w:r w:rsidRPr="001F50FB">
        <w:rPr>
          <w:rFonts w:asciiTheme="minorHAnsi" w:eastAsia="Calibri" w:hAnsiTheme="minorHAnsi" w:cstheme="minorHAnsi"/>
          <w:b/>
          <w:noProof/>
          <w:sz w:val="22"/>
          <w:szCs w:val="22"/>
          <w:lang w:bidi="fa-IR"/>
        </w:rPr>
        <w:t>Wymagania ogólne</w:t>
      </w:r>
    </w:p>
    <w:p w14:paraId="753F7E5D" w14:textId="065E0262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 xml:space="preserve">Zamawiający </w:t>
      </w:r>
      <w:r>
        <w:rPr>
          <w:rFonts w:asciiTheme="minorHAnsi" w:eastAsia="Calibri" w:hAnsiTheme="minorHAnsi" w:cstheme="minorHAnsi"/>
          <w:noProof/>
          <w:sz w:val="22"/>
          <w:szCs w:val="22"/>
        </w:rPr>
        <w:t xml:space="preserve">obecnie 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 xml:space="preserve">posiada </w:t>
      </w:r>
      <w:r>
        <w:rPr>
          <w:rFonts w:asciiTheme="minorHAnsi" w:eastAsia="Calibri" w:hAnsiTheme="minorHAnsi" w:cstheme="minorHAnsi"/>
          <w:noProof/>
          <w:sz w:val="22"/>
          <w:szCs w:val="22"/>
        </w:rPr>
        <w:t xml:space="preserve">4 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obudow</w:t>
      </w:r>
      <w:r>
        <w:rPr>
          <w:rFonts w:asciiTheme="minorHAnsi" w:eastAsia="Calibri" w:hAnsiTheme="minorHAnsi" w:cstheme="minorHAnsi"/>
          <w:noProof/>
          <w:sz w:val="22"/>
          <w:szCs w:val="22"/>
        </w:rPr>
        <w:t>y</w:t>
      </w:r>
      <w:r w:rsidR="00EA3493">
        <w:rPr>
          <w:rFonts w:asciiTheme="minorHAnsi" w:eastAsia="Calibri" w:hAnsiTheme="minorHAnsi" w:cstheme="minorHAnsi"/>
          <w:noProof/>
          <w:sz w:val="22"/>
          <w:szCs w:val="22"/>
        </w:rPr>
        <w:t xml:space="preserve"> Dell 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 xml:space="preserve">MX7000 oraz </w:t>
      </w:r>
      <w:r>
        <w:rPr>
          <w:rFonts w:asciiTheme="minorHAnsi" w:eastAsia="Calibri" w:hAnsiTheme="minorHAnsi" w:cstheme="minorHAnsi"/>
          <w:noProof/>
          <w:sz w:val="22"/>
          <w:szCs w:val="22"/>
        </w:rPr>
        <w:t xml:space="preserve">18 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serwer</w:t>
      </w:r>
      <w:r>
        <w:rPr>
          <w:rFonts w:asciiTheme="minorHAnsi" w:eastAsia="Calibri" w:hAnsiTheme="minorHAnsi" w:cstheme="minorHAnsi"/>
          <w:noProof/>
          <w:sz w:val="22"/>
          <w:szCs w:val="22"/>
        </w:rPr>
        <w:t>ów</w:t>
      </w:r>
      <w:r w:rsidR="00EA3493">
        <w:rPr>
          <w:rFonts w:asciiTheme="minorHAnsi" w:eastAsia="Calibri" w:hAnsiTheme="minorHAnsi" w:cstheme="minorHAnsi"/>
          <w:noProof/>
          <w:sz w:val="22"/>
          <w:szCs w:val="22"/>
        </w:rPr>
        <w:t xml:space="preserve"> Dell</w:t>
      </w:r>
      <w:r w:rsidR="00145AAB">
        <w:rPr>
          <w:rFonts w:asciiTheme="minorHAnsi" w:eastAsia="Calibri" w:hAnsiTheme="minorHAnsi" w:cstheme="minorHAnsi"/>
          <w:noProof/>
          <w:sz w:val="22"/>
          <w:szCs w:val="22"/>
        </w:rPr>
        <w:t xml:space="preserve"> Mx760c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 xml:space="preserve"> </w:t>
      </w:r>
    </w:p>
    <w:p w14:paraId="1FDFA249" w14:textId="710FBBFA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Celem rozbudowy jest powiększenie obecnego środowiska Zamawiającego o 1</w:t>
      </w:r>
      <w:r>
        <w:rPr>
          <w:rFonts w:asciiTheme="minorHAnsi" w:eastAsia="Calibri" w:hAnsiTheme="minorHAnsi" w:cstheme="minorHAnsi"/>
          <w:noProof/>
          <w:sz w:val="22"/>
          <w:szCs w:val="22"/>
        </w:rPr>
        <w:t>0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 xml:space="preserve"> serwerów blade</w:t>
      </w:r>
      <w:r w:rsidR="003B0D85">
        <w:rPr>
          <w:rFonts w:asciiTheme="minorHAnsi" w:eastAsia="Calibri" w:hAnsiTheme="minorHAnsi" w:cstheme="minorHAnsi"/>
          <w:noProof/>
          <w:sz w:val="22"/>
          <w:szCs w:val="22"/>
        </w:rPr>
        <w:t>;</w:t>
      </w:r>
    </w:p>
    <w:p w14:paraId="61617E98" w14:textId="295A2FF6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 xml:space="preserve">Wykonawca dokona wdrożenia dostarczonych serwerów, polegającego na ich instalacji, uruchomieniu i konfiguracji, zgodnie z pkt </w:t>
      </w:r>
      <w:r w:rsidR="003B0D85">
        <w:rPr>
          <w:rFonts w:asciiTheme="minorHAnsi" w:eastAsia="Calibri" w:hAnsiTheme="minorHAnsi" w:cstheme="minorHAnsi"/>
          <w:noProof/>
          <w:sz w:val="22"/>
          <w:szCs w:val="22"/>
        </w:rPr>
        <w:t>5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.</w:t>
      </w:r>
    </w:p>
    <w:p w14:paraId="278B2753" w14:textId="295FD60E" w:rsidR="00EB1FE9" w:rsidRPr="001F50FB" w:rsidRDefault="00EB1FE9" w:rsidP="00EB1FE9">
      <w:pPr>
        <w:spacing w:before="100" w:beforeAutospacing="1" w:line="256" w:lineRule="auto"/>
        <w:rPr>
          <w:rFonts w:asciiTheme="minorHAnsi" w:hAnsiTheme="minorHAnsi" w:cstheme="minorHAnsi"/>
          <w:noProof/>
          <w:sz w:val="22"/>
          <w:szCs w:val="22"/>
        </w:rPr>
      </w:pPr>
      <w:r w:rsidRPr="001F50FB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Tabela </w:t>
      </w:r>
      <w:r>
        <w:rPr>
          <w:rFonts w:asciiTheme="minorHAnsi" w:hAnsiTheme="minorHAnsi" w:cstheme="minorHAnsi"/>
          <w:b/>
          <w:bCs/>
          <w:noProof/>
          <w:sz w:val="22"/>
          <w:szCs w:val="22"/>
        </w:rPr>
        <w:t>1</w:t>
      </w:r>
      <w:r w:rsidRPr="001F50FB">
        <w:rPr>
          <w:rFonts w:asciiTheme="minorHAnsi" w:hAnsiTheme="minorHAnsi" w:cstheme="minorHAnsi"/>
          <w:b/>
          <w:bCs/>
          <w:noProof/>
          <w:sz w:val="22"/>
          <w:szCs w:val="22"/>
        </w:rPr>
        <w:t>. Opis minimalnych wymagań dla serwera typu Blade do instalacji w infrastrukturze Blade TYP 1 – 1</w:t>
      </w:r>
      <w:r w:rsidR="00145AAB">
        <w:rPr>
          <w:rFonts w:asciiTheme="minorHAnsi" w:hAnsiTheme="minorHAnsi" w:cstheme="minorHAnsi"/>
          <w:b/>
          <w:bCs/>
          <w:noProof/>
          <w:sz w:val="22"/>
          <w:szCs w:val="22"/>
        </w:rPr>
        <w:t>0</w:t>
      </w:r>
      <w:r w:rsidRPr="001F50FB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szt.</w:t>
      </w:r>
    </w:p>
    <w:tbl>
      <w:tblPr>
        <w:tblStyle w:val="AssecoTabela-Siatka2"/>
        <w:tblW w:w="0" w:type="auto"/>
        <w:tblLook w:val="04A0" w:firstRow="1" w:lastRow="0" w:firstColumn="1" w:lastColumn="0" w:noHBand="0" w:noVBand="1"/>
      </w:tblPr>
      <w:tblGrid>
        <w:gridCol w:w="1838"/>
        <w:gridCol w:w="6657"/>
      </w:tblGrid>
      <w:tr w:rsidR="00EB1FE9" w:rsidRPr="001F50FB" w14:paraId="36605457" w14:textId="77777777" w:rsidTr="0008482B">
        <w:tc>
          <w:tcPr>
            <w:tcW w:w="183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22"/>
            </w:tblGrid>
            <w:tr w:rsidR="00EB1FE9" w:rsidRPr="001F50FB" w14:paraId="126AE6CC" w14:textId="77777777" w:rsidTr="0008482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07061F6" w14:textId="77777777" w:rsidR="00EB1FE9" w:rsidRPr="001F50FB" w:rsidRDefault="00EB1FE9" w:rsidP="0008482B">
                  <w:pPr>
                    <w:rPr>
                      <w:rFonts w:asciiTheme="minorHAnsi" w:hAnsiTheme="minorHAnsi" w:cstheme="minorHAnsi"/>
                      <w:noProof/>
                      <w:sz w:val="22"/>
                      <w:szCs w:val="22"/>
                    </w:rPr>
                  </w:pPr>
                  <w:r w:rsidRPr="001F50FB">
                    <w:rPr>
                      <w:rFonts w:asciiTheme="minorHAnsi" w:hAnsiTheme="minorHAnsi" w:cstheme="minorHAnsi"/>
                      <w:b/>
                      <w:bCs/>
                      <w:noProof/>
                      <w:color w:val="000000"/>
                      <w:sz w:val="22"/>
                      <w:szCs w:val="22"/>
                    </w:rPr>
                    <w:t>Element konfiguracji</w:t>
                  </w:r>
                </w:p>
              </w:tc>
            </w:tr>
          </w:tbl>
          <w:p w14:paraId="2A24DE14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6657" w:type="dxa"/>
          </w:tcPr>
          <w:p w14:paraId="6368610E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Parametry minimalne</w:t>
            </w:r>
          </w:p>
        </w:tc>
      </w:tr>
      <w:tr w:rsidR="00EB1FE9" w:rsidRPr="001F50FB" w14:paraId="6AB695C5" w14:textId="77777777" w:rsidTr="0008482B">
        <w:tc>
          <w:tcPr>
            <w:tcW w:w="1838" w:type="dxa"/>
          </w:tcPr>
          <w:p w14:paraId="289069EB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Typ Obudowy</w:t>
            </w:r>
          </w:p>
        </w:tc>
        <w:tc>
          <w:tcPr>
            <w:tcW w:w="6657" w:type="dxa"/>
          </w:tcPr>
          <w:p w14:paraId="473C2DD1" w14:textId="5297627E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Typu blade, umożliwiająca instalację w/w opisanej infrastrukturze </w:t>
            </w:r>
          </w:p>
        </w:tc>
      </w:tr>
      <w:tr w:rsidR="00EB1FE9" w:rsidRPr="001F50FB" w14:paraId="0DAE1176" w14:textId="77777777" w:rsidTr="0008482B">
        <w:tc>
          <w:tcPr>
            <w:tcW w:w="1838" w:type="dxa"/>
          </w:tcPr>
          <w:p w14:paraId="799CA784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Płyta główna</w:t>
            </w:r>
          </w:p>
        </w:tc>
        <w:tc>
          <w:tcPr>
            <w:tcW w:w="6657" w:type="dxa"/>
          </w:tcPr>
          <w:p w14:paraId="09D363F3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Płyta główna z możliwością zainstalowania do dwóch procesorów. Płyta główna musi być zaprojektowana przez producenta serwera i oznaczona jego znakiem firmowym.</w:t>
            </w:r>
          </w:p>
        </w:tc>
      </w:tr>
      <w:tr w:rsidR="00EB1FE9" w:rsidRPr="001F50FB" w14:paraId="30BFA273" w14:textId="77777777" w:rsidTr="0008482B">
        <w:tc>
          <w:tcPr>
            <w:tcW w:w="1838" w:type="dxa"/>
          </w:tcPr>
          <w:p w14:paraId="69E08779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Chipset</w:t>
            </w:r>
          </w:p>
        </w:tc>
        <w:tc>
          <w:tcPr>
            <w:tcW w:w="6657" w:type="dxa"/>
          </w:tcPr>
          <w:p w14:paraId="65BA2238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Dedykowany przez producenta procesora do pracy w serwerach dwuprocesorowych.</w:t>
            </w:r>
          </w:p>
        </w:tc>
      </w:tr>
      <w:tr w:rsidR="00EB1FE9" w:rsidRPr="001F50FB" w14:paraId="5F63D84C" w14:textId="77777777" w:rsidTr="0008482B">
        <w:tc>
          <w:tcPr>
            <w:tcW w:w="1838" w:type="dxa"/>
          </w:tcPr>
          <w:p w14:paraId="42C7E307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Procesor</w:t>
            </w:r>
          </w:p>
        </w:tc>
        <w:tc>
          <w:tcPr>
            <w:tcW w:w="6657" w:type="dxa"/>
          </w:tcPr>
          <w:p w14:paraId="095D67CD" w14:textId="13BF8C4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Dwa procesory </w:t>
            </w:r>
            <w:r w:rsidR="00655D84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24</w:t>
            </w: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-rdzeniowe, częstotliwość bazowa minimum 2.</w:t>
            </w:r>
            <w:r w:rsidR="00655D84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9</w:t>
            </w: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 GHz, klasy x86 dedykowane do pracy z zaoferowanym serwerem, umożliwiające osiągnięcie wyniku min. </w:t>
            </w:r>
            <w:r w:rsidR="00655D84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510</w:t>
            </w: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 w teście SPECrate 2017_fp_base dostępnym na stronie </w:t>
            </w:r>
            <w:hyperlink r:id="rId5" w:history="1">
              <w:r w:rsidRPr="001F50FB">
                <w:rPr>
                  <w:rFonts w:asciiTheme="minorHAnsi" w:hAnsiTheme="minorHAnsi" w:cstheme="minorHAnsi"/>
                  <w:noProof/>
                  <w:color w:val="0000FF"/>
                  <w:sz w:val="22"/>
                  <w:szCs w:val="22"/>
                  <w:u w:val="single"/>
                </w:rPr>
                <w:t>www.spec.org</w:t>
              </w:r>
            </w:hyperlink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 w konfiguracji dwuprocesorowej.</w:t>
            </w:r>
          </w:p>
        </w:tc>
      </w:tr>
      <w:tr w:rsidR="00EB1FE9" w:rsidRPr="001F50FB" w14:paraId="4381B4BA" w14:textId="77777777" w:rsidTr="0008482B">
        <w:tc>
          <w:tcPr>
            <w:tcW w:w="1838" w:type="dxa"/>
          </w:tcPr>
          <w:p w14:paraId="146DB7A0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Pamięć RAM</w:t>
            </w:r>
          </w:p>
        </w:tc>
        <w:tc>
          <w:tcPr>
            <w:tcW w:w="6657" w:type="dxa"/>
          </w:tcPr>
          <w:p w14:paraId="502A2AB3" w14:textId="77777777" w:rsidR="00EB1FE9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Zainstalowane min. 1024GB pamięci RAM RDIMM o częstotliwości 5600MT/s.</w:t>
            </w:r>
          </w:p>
          <w:p w14:paraId="7CB4E9FE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Możliwość obsługi 8TB pamięci RAM, na płycie głównej powinny znajdować się 32 sloty na pamięci.</w:t>
            </w:r>
          </w:p>
        </w:tc>
      </w:tr>
      <w:tr w:rsidR="00EB1FE9" w:rsidRPr="001F50FB" w14:paraId="16565ED9" w14:textId="77777777" w:rsidTr="0008482B">
        <w:tc>
          <w:tcPr>
            <w:tcW w:w="1838" w:type="dxa"/>
          </w:tcPr>
          <w:p w14:paraId="61FF1C5C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Wbudowane porty</w:t>
            </w:r>
          </w:p>
        </w:tc>
        <w:tc>
          <w:tcPr>
            <w:tcW w:w="6657" w:type="dxa"/>
          </w:tcPr>
          <w:p w14:paraId="12EFD8A1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min. 1x USB 3.0</w:t>
            </w:r>
          </w:p>
        </w:tc>
      </w:tr>
      <w:tr w:rsidR="00EB1FE9" w:rsidRPr="001F50FB" w14:paraId="20E9A286" w14:textId="77777777" w:rsidTr="0008482B">
        <w:tc>
          <w:tcPr>
            <w:tcW w:w="1838" w:type="dxa"/>
          </w:tcPr>
          <w:p w14:paraId="0A8173D1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Interfejsy LAN</w:t>
            </w:r>
          </w:p>
        </w:tc>
        <w:tc>
          <w:tcPr>
            <w:tcW w:w="6657" w:type="dxa"/>
          </w:tcPr>
          <w:p w14:paraId="2344C942" w14:textId="107C7775" w:rsidR="00EB1FE9" w:rsidRPr="001F50FB" w:rsidRDefault="00655D84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Dwuportowa karta min. 25GbE</w:t>
            </w:r>
          </w:p>
        </w:tc>
      </w:tr>
      <w:tr w:rsidR="00EB1FE9" w:rsidRPr="001F50FB" w14:paraId="6BB94A4A" w14:textId="77777777" w:rsidTr="0008482B">
        <w:tc>
          <w:tcPr>
            <w:tcW w:w="1838" w:type="dxa"/>
          </w:tcPr>
          <w:p w14:paraId="3E0CB556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Interfejsy SAN</w:t>
            </w:r>
          </w:p>
        </w:tc>
        <w:tc>
          <w:tcPr>
            <w:tcW w:w="6657" w:type="dxa"/>
          </w:tcPr>
          <w:p w14:paraId="08958919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Min. 2 interfejsy FC 32 GB/s. W układzie wszystkie pierwsze interfejsy z każdego serwera przyłączone do pierwszego przełącznika FC, drugie interfejsy do drugiego przełącznika FC.</w:t>
            </w:r>
          </w:p>
        </w:tc>
      </w:tr>
      <w:tr w:rsidR="00EB1FE9" w:rsidRPr="001F50FB" w14:paraId="5415BBE9" w14:textId="77777777" w:rsidTr="0008482B">
        <w:tc>
          <w:tcPr>
            <w:tcW w:w="1838" w:type="dxa"/>
          </w:tcPr>
          <w:p w14:paraId="3E63DA4A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lastRenderedPageBreak/>
              <w:t>Wewnętrzna pamięć masowa</w:t>
            </w:r>
          </w:p>
        </w:tc>
        <w:tc>
          <w:tcPr>
            <w:tcW w:w="6657" w:type="dxa"/>
          </w:tcPr>
          <w:p w14:paraId="5B965C15" w14:textId="68F342BC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Zainstalowane 2 dyski </w:t>
            </w:r>
            <w:r w:rsidR="00655D84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960 </w:t>
            </w: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GB SSD SATA</w:t>
            </w:r>
            <w:r w:rsidR="00655D84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, </w:t>
            </w: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Hot-Plug.</w:t>
            </w:r>
          </w:p>
          <w:p w14:paraId="319C4BD3" w14:textId="11FF86A5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</w:p>
        </w:tc>
      </w:tr>
      <w:tr w:rsidR="00EB1FE9" w:rsidRPr="001F50FB" w14:paraId="571F6AE7" w14:textId="77777777" w:rsidTr="0008482B">
        <w:tc>
          <w:tcPr>
            <w:tcW w:w="1838" w:type="dxa"/>
          </w:tcPr>
          <w:p w14:paraId="60D6C6D0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Karta Zarządzania</w:t>
            </w:r>
          </w:p>
        </w:tc>
        <w:tc>
          <w:tcPr>
            <w:tcW w:w="6657" w:type="dxa"/>
          </w:tcPr>
          <w:p w14:paraId="2A960C5B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Niezależna od zainstalowanego na serwerze systemu operacyjnego posiadająca dedykowany port Gigabit Ethernet RJ-45 i umożliwiająca:</w:t>
            </w:r>
          </w:p>
          <w:p w14:paraId="5964BD06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zdalny dostęp do graficznego interfejsu Web karty zarządzającej;</w:t>
            </w:r>
          </w:p>
          <w:p w14:paraId="08B47157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zdalne monitorowanie i informowanie o statusie serwera (m.in. prędkości obrotowej wentylatorów, konfiguracji serwera);</w:t>
            </w:r>
          </w:p>
          <w:p w14:paraId="0D6CC823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szyfrowane połączenie (TLS) oraz autentykacje i autoryzację użytkownika;</w:t>
            </w:r>
          </w:p>
          <w:p w14:paraId="21469CAA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podmontowania zdalnych wirtualnych napędów;</w:t>
            </w:r>
          </w:p>
          <w:p w14:paraId="2CF4F735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wirtualną konsolę z dostępem do myszy, klawiatury;</w:t>
            </w:r>
          </w:p>
          <w:p w14:paraId="4CBC70BD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wsparcie dla IPv6;</w:t>
            </w:r>
          </w:p>
          <w:p w14:paraId="743DDD3F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  <w:lang w:val="en-US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  <w:lang w:val="en-US"/>
              </w:rPr>
              <w:t>wsparcie dla WSMAN (Web Service for Management); SNMP; IPMI2.0, SSH, Redfish;</w:t>
            </w:r>
          </w:p>
          <w:p w14:paraId="045DAAE2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zdalnego monitorowania w czasie rzeczywistym poboru prądu przez serwer;</w:t>
            </w:r>
          </w:p>
          <w:p w14:paraId="18715048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zdalnego ustawienia limitu poboru prądu przez konkretny serwer;</w:t>
            </w:r>
          </w:p>
          <w:p w14:paraId="4E21AC21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integracja z Active Directory;</w:t>
            </w:r>
          </w:p>
          <w:p w14:paraId="7CD53CE2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obsługi przez dwóch administratorów jednocześnie;</w:t>
            </w:r>
          </w:p>
          <w:p w14:paraId="1B8DB492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wsparcie dla dynamic DNS;</w:t>
            </w:r>
          </w:p>
          <w:p w14:paraId="2655124B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wysyłanie do administratora maila z powiadomieniem o awarii lub zmianie konfiguracji sprzętowej.</w:t>
            </w:r>
          </w:p>
          <w:p w14:paraId="28AB8523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bezpośredniego zarządzania poprzez dedykowany port USB na przednim panelu serwera</w:t>
            </w:r>
          </w:p>
        </w:tc>
      </w:tr>
      <w:tr w:rsidR="00EB1FE9" w:rsidRPr="001F50FB" w14:paraId="2760C025" w14:textId="77777777" w:rsidTr="0008482B">
        <w:tc>
          <w:tcPr>
            <w:tcW w:w="1838" w:type="dxa"/>
          </w:tcPr>
          <w:p w14:paraId="6B54FBED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Oprogramowanie do zarządzania</w:t>
            </w:r>
          </w:p>
        </w:tc>
        <w:tc>
          <w:tcPr>
            <w:tcW w:w="6657" w:type="dxa"/>
          </w:tcPr>
          <w:p w14:paraId="3651B566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Możliwość zainstalowania oprogramowania producenta do zarządzania, spełniającego poniższe wymagania:</w:t>
            </w:r>
          </w:p>
          <w:p w14:paraId="77A8DF18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Wsparcie dla serwerów, urządzeń sieciowych oraz pamięci masowych</w:t>
            </w:r>
          </w:p>
          <w:p w14:paraId="2483A224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integracja z Active Directory</w:t>
            </w:r>
          </w:p>
          <w:p w14:paraId="68F013D2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zarządzania dostarczonymi serwerami bez udziału dedykowanego agenta</w:t>
            </w:r>
          </w:p>
          <w:p w14:paraId="5D3549D6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Wsparcie dla protokołów SNMP, IPMI, Linux SSH, Redfish</w:t>
            </w:r>
          </w:p>
          <w:p w14:paraId="605E7BD2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uruchamiania procesu wykrywania urządzeń w oparciu o harmonogram</w:t>
            </w:r>
          </w:p>
          <w:p w14:paraId="23C10267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Szczegółowy opis wykrytych systemów oraz ich komponentów</w:t>
            </w:r>
          </w:p>
          <w:p w14:paraId="3E85FE76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eksportu raportu do CSV, HTML, XLS, PDF</w:t>
            </w:r>
          </w:p>
          <w:p w14:paraId="357FD4ED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tworzenia własnych raportów w oparciu o wszystkie informacje zawarte w inwentarzu.</w:t>
            </w:r>
          </w:p>
          <w:p w14:paraId="04185CB2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Grupowanie urządzeń w oparciu o kryteria użytkownika</w:t>
            </w:r>
          </w:p>
          <w:p w14:paraId="35A8CEEA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 xml:space="preserve">Tworzenie automatycznie grup urządzeń w oparciu o dowolny element konfiguracji serwera np. Nazwa, lokalizacja, system </w:t>
            </w: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lastRenderedPageBreak/>
              <w:t>operacyjny, obsadzenie slotów PCIe, pozostałego czasu gwarancji</w:t>
            </w:r>
          </w:p>
          <w:p w14:paraId="2816ADF7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uruchamiania narzędzi zarządzających w poszczególnych urządzeniach</w:t>
            </w:r>
          </w:p>
          <w:p w14:paraId="091CB719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Szybki podgląd stanu środowiska</w:t>
            </w:r>
          </w:p>
          <w:p w14:paraId="2DA8EFCF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Podsumowanie stanu dla każdego urządzenia</w:t>
            </w:r>
          </w:p>
          <w:p w14:paraId="450494BE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Szczegółowy status urządzenia/elementu/komponentu</w:t>
            </w:r>
          </w:p>
          <w:p w14:paraId="5BCB0DDF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Generowanie alertów przy zmianie stanu urządzenia.</w:t>
            </w:r>
          </w:p>
          <w:p w14:paraId="17DFFD7B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Filtry raportów umożliwiające podgląd najważniejszych zdarzeń</w:t>
            </w:r>
          </w:p>
          <w:p w14:paraId="070C0685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Integracja z service desk producenta dostarczonej platformy sprzętowej</w:t>
            </w:r>
          </w:p>
          <w:p w14:paraId="7362BD95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przejęcia zdalnego pulpitu</w:t>
            </w:r>
          </w:p>
          <w:p w14:paraId="2E0FEFD8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podmontowania wirtualnego napędu</w:t>
            </w:r>
          </w:p>
          <w:p w14:paraId="34710EE8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Kreator umożliwiający dostosowanie akcji dla wybranych alertów</w:t>
            </w:r>
          </w:p>
          <w:p w14:paraId="7055A129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importu plików MIB</w:t>
            </w:r>
          </w:p>
          <w:p w14:paraId="20149BA8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Przesyłanie alertów „as-is” do innych konsol firm trzecich</w:t>
            </w:r>
          </w:p>
          <w:p w14:paraId="51A435F3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definiowania ról administratorów</w:t>
            </w:r>
          </w:p>
          <w:p w14:paraId="23B694C7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zdalnej aktualizacji oprogramowania wewnętrznego serwerów</w:t>
            </w:r>
          </w:p>
          <w:p w14:paraId="2E76668B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Aktualizacja oparta o wybranie źródła bibliotek (lokalna, on-line producenta oferowanego rozwiązania)</w:t>
            </w:r>
          </w:p>
          <w:p w14:paraId="0F48AA95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instalacji oprogramowania wewnętrznego bez potrzeby instalacji agenta</w:t>
            </w:r>
          </w:p>
          <w:p w14:paraId="71C4BF90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automatycznego generowania i zgłaszania incydentów awarii bezpośrednio do centrum serwisowego producenta serwerów</w:t>
            </w:r>
          </w:p>
          <w:p w14:paraId="23F5E250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14:paraId="2AF7D93A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tworzenia sprzętowej konfiguracji bazowej i na jej podstawie weryfikacji środowiska w celu wykrycia rozbieżności.</w:t>
            </w:r>
          </w:p>
          <w:p w14:paraId="01554876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Wdrażanie serwerów, rozwiązań modularnych oraz przełączników sieciowych w oparciu o profile</w:t>
            </w:r>
          </w:p>
          <w:p w14:paraId="3FC987CC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Możliwość migracji ustawień serwera wraz z wirtualnymi adresami sieciowymi (MAC, WWN, IQN) między urządzeniami.</w:t>
            </w:r>
          </w:p>
          <w:p w14:paraId="316B680A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Tworzenie gotowych paczek informacji umożliwiających zdiagnozowanie awarii urządzenia przez serwis producenta.</w:t>
            </w:r>
          </w:p>
          <w:p w14:paraId="00831F27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Zdalne uruchamianie diagnostyki serwera.</w:t>
            </w:r>
          </w:p>
          <w:p w14:paraId="414ED4A3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lastRenderedPageBreak/>
              <w:t>Dedykowana aplikacja na urządzenia mobilne integrująca się z wyżej opisanymi oprogramowaniem zarządzającym.</w:t>
            </w:r>
          </w:p>
          <w:p w14:paraId="08405746" w14:textId="77777777" w:rsidR="00EB1FE9" w:rsidRPr="001F50FB" w:rsidRDefault="00EB1FE9" w:rsidP="0008482B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contextualSpacing/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eastAsia="Calibri" w:hAnsiTheme="minorHAnsi" w:cstheme="minorHAnsi"/>
                <w:noProof/>
                <w:color w:val="000000"/>
                <w:sz w:val="22"/>
                <w:szCs w:val="22"/>
              </w:rPr>
              <w:t>Oprogramowanie dostarczane jako wirtualny appliance dla KVM, ESXi i Hyper-V.</w:t>
            </w:r>
          </w:p>
        </w:tc>
      </w:tr>
      <w:tr w:rsidR="00EB1FE9" w:rsidRPr="001F50FB" w14:paraId="00B0127B" w14:textId="77777777" w:rsidTr="0008482B">
        <w:tc>
          <w:tcPr>
            <w:tcW w:w="1838" w:type="dxa"/>
          </w:tcPr>
          <w:p w14:paraId="45B80942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lastRenderedPageBreak/>
              <w:t>Gwarancja producenta</w:t>
            </w:r>
          </w:p>
        </w:tc>
        <w:tc>
          <w:tcPr>
            <w:tcW w:w="6657" w:type="dxa"/>
          </w:tcPr>
          <w:p w14:paraId="4047FD32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Gwarancja producenta</w:t>
            </w: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przez okres 60 miesięcy</w:t>
            </w: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, z czasem rozpoczęcia naprawy w siedzibie zamawiającego najpóźniej w następnym Dniu roboczym (NBD) od otrzymania zgłoszenia.</w:t>
            </w:r>
          </w:p>
          <w:p w14:paraId="24C9474D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Możliwość zgłaszania awarii 24x7x365 poprzez linię telefoniczną producenta.</w:t>
            </w:r>
          </w:p>
          <w:p w14:paraId="58C10A2C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Możliwość sprawdzenia statusu gwarancji poprzez stronę producenta podając unikatowy numer urządzenia, oraz pobieranie uaktualnień mikrokodu oraz sterowników nawet w przypadku wygaśnięcia gwarancji systemu.</w:t>
            </w:r>
          </w:p>
        </w:tc>
      </w:tr>
      <w:tr w:rsidR="00EB1FE9" w:rsidRPr="000C2AEA" w14:paraId="2F48284B" w14:textId="77777777" w:rsidTr="0008482B">
        <w:tc>
          <w:tcPr>
            <w:tcW w:w="1838" w:type="dxa"/>
          </w:tcPr>
          <w:p w14:paraId="7DC199A6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Certyfikaty</w:t>
            </w:r>
          </w:p>
        </w:tc>
        <w:tc>
          <w:tcPr>
            <w:tcW w:w="6657" w:type="dxa"/>
          </w:tcPr>
          <w:p w14:paraId="07307284" w14:textId="77777777" w:rsidR="00EB1FE9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Serwer musi być wyprodukowany zgodnie z normą ISO-9001 oraz ISO-14001.</w:t>
            </w:r>
          </w:p>
          <w:p w14:paraId="68A5DEAF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Serwer musi posiadać deklaracja CE.</w:t>
            </w:r>
          </w:p>
          <w:p w14:paraId="3E5CCA46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val="en-US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val="en-US"/>
              </w:rPr>
              <w:t>Zgodność z wirtualizatorami, VMware vSphere, Microsoft Hyper-V.</w:t>
            </w:r>
          </w:p>
          <w:p w14:paraId="08C8AC16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val="en-US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val="en-US"/>
              </w:rPr>
              <w:t>Zgodność z systemami SUSE Linux Enterprise Server, RedHat Enterprise Linux, VMware vSphere.</w:t>
            </w:r>
          </w:p>
          <w:p w14:paraId="157E7481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val="en-US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val="en-US"/>
              </w:rPr>
              <w:t>Oferowany serwer musi znajdować się na liście Windows Server Catalog i posiadać status „Certified for Windows” dla systemów Microsoft Windows Server 2019, Windows Server 2022.</w:t>
            </w:r>
          </w:p>
        </w:tc>
      </w:tr>
      <w:tr w:rsidR="00EB1FE9" w:rsidRPr="001F50FB" w14:paraId="12D6266E" w14:textId="77777777" w:rsidTr="0008482B">
        <w:tc>
          <w:tcPr>
            <w:tcW w:w="1838" w:type="dxa"/>
          </w:tcPr>
          <w:p w14:paraId="7E3E9E42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Dokumentacja</w:t>
            </w:r>
          </w:p>
        </w:tc>
        <w:tc>
          <w:tcPr>
            <w:tcW w:w="6657" w:type="dxa"/>
          </w:tcPr>
          <w:p w14:paraId="434A4216" w14:textId="77777777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Zamawiający wymaga dokumentacji w języku polskim lub angielskim.</w:t>
            </w: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br/>
              <w:t>Możliwość telefonicznego sprawdzenia konfiguracji sprzętowej serwera oraz warunków gwarancji po podaniu numeru seryjnego bezpośrednio u producenta lub jego przedstawiciela.</w:t>
            </w:r>
          </w:p>
        </w:tc>
      </w:tr>
      <w:tr w:rsidR="00EB1FE9" w:rsidRPr="001F50FB" w14:paraId="5804D49A" w14:textId="77777777" w:rsidTr="0008482B">
        <w:tc>
          <w:tcPr>
            <w:tcW w:w="1838" w:type="dxa"/>
          </w:tcPr>
          <w:p w14:paraId="3C8CF4AC" w14:textId="77777777" w:rsidR="00EB1FE9" w:rsidRPr="001F50FB" w:rsidRDefault="00EB1FE9" w:rsidP="0008482B">
            <w:pPr>
              <w:spacing w:before="100" w:beforeAutospacing="1" w:line="25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Inne</w:t>
            </w:r>
          </w:p>
        </w:tc>
        <w:tc>
          <w:tcPr>
            <w:tcW w:w="6657" w:type="dxa"/>
          </w:tcPr>
          <w:p w14:paraId="0693327F" w14:textId="4FB7114E" w:rsidR="00EB1FE9" w:rsidRPr="001F50FB" w:rsidRDefault="00EB1FE9" w:rsidP="0008482B">
            <w:pPr>
              <w:spacing w:after="120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Dostarczenie wszelkich niezbędnych elementów takich jak kable wkładki, umożliwiające uruchomienie produkcyjne </w:t>
            </w:r>
            <w:r w:rsidR="00655D84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serwerów</w:t>
            </w:r>
            <w:r w:rsidRPr="001F50FB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 w dwóch lokalizacjach Zamawiającego.</w:t>
            </w:r>
          </w:p>
        </w:tc>
      </w:tr>
    </w:tbl>
    <w:p w14:paraId="4C5D0710" w14:textId="6C58431D" w:rsidR="00EB1FE9" w:rsidRPr="001F50FB" w:rsidRDefault="00EB1FE9" w:rsidP="00EB1FE9">
      <w:pPr>
        <w:keepNext/>
        <w:numPr>
          <w:ilvl w:val="0"/>
          <w:numId w:val="1"/>
        </w:numPr>
        <w:spacing w:before="240" w:after="120"/>
        <w:ind w:left="357" w:hanging="357"/>
        <w:jc w:val="both"/>
        <w:outlineLvl w:val="1"/>
        <w:rPr>
          <w:rFonts w:asciiTheme="minorHAnsi" w:eastAsia="Calibri" w:hAnsiTheme="minorHAnsi" w:cstheme="minorHAnsi"/>
          <w:b/>
          <w:noProof/>
          <w:sz w:val="22"/>
          <w:szCs w:val="22"/>
          <w:lang w:bidi="fa-IR"/>
        </w:rPr>
      </w:pPr>
      <w:r w:rsidRPr="001F50FB">
        <w:rPr>
          <w:rFonts w:asciiTheme="minorHAnsi" w:eastAsia="Calibri" w:hAnsiTheme="minorHAnsi" w:cstheme="minorHAnsi"/>
          <w:b/>
          <w:noProof/>
          <w:sz w:val="22"/>
          <w:szCs w:val="22"/>
          <w:lang w:bidi="fa-IR"/>
        </w:rPr>
        <w:t xml:space="preserve">Serwis </w:t>
      </w:r>
      <w:r w:rsidR="000C2AEA">
        <w:rPr>
          <w:rFonts w:asciiTheme="minorHAnsi" w:eastAsia="Calibri" w:hAnsiTheme="minorHAnsi" w:cstheme="minorHAnsi"/>
          <w:b/>
          <w:noProof/>
          <w:sz w:val="22"/>
          <w:szCs w:val="22"/>
          <w:lang w:bidi="fa-IR"/>
        </w:rPr>
        <w:t>techniczny</w:t>
      </w:r>
      <w:r w:rsidR="000C2AEA" w:rsidRPr="001F50FB">
        <w:rPr>
          <w:rFonts w:asciiTheme="minorHAnsi" w:eastAsia="Calibri" w:hAnsiTheme="minorHAnsi" w:cstheme="minorHAnsi"/>
          <w:b/>
          <w:noProof/>
          <w:sz w:val="22"/>
          <w:szCs w:val="22"/>
          <w:lang w:bidi="fa-IR"/>
        </w:rPr>
        <w:t xml:space="preserve"> </w:t>
      </w:r>
      <w:r w:rsidRPr="001F50FB">
        <w:rPr>
          <w:rFonts w:asciiTheme="minorHAnsi" w:eastAsia="Calibri" w:hAnsiTheme="minorHAnsi" w:cstheme="minorHAnsi"/>
          <w:b/>
          <w:noProof/>
          <w:sz w:val="22"/>
          <w:szCs w:val="22"/>
          <w:lang w:bidi="fa-IR"/>
        </w:rPr>
        <w:t>Wykonawcy</w:t>
      </w:r>
    </w:p>
    <w:p w14:paraId="27E4D8F7" w14:textId="77777777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Wykonawca zapewni możliwości zgłaszania zdarzeń serwisowych w trybie 24/7/365 następującymi kanałami: telefonicznie, przez Internet oraz z wykorzystaniem aplikacji.</w:t>
      </w:r>
    </w:p>
    <w:p w14:paraId="116441A4" w14:textId="77777777" w:rsidR="00EB1FE9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Wykonawca rozpocznie diagnostykę za pomocą kanałów telefonicznych / internetowych już w momencie dokonania zgłoszenia.</w:t>
      </w:r>
    </w:p>
    <w:p w14:paraId="4E36F61C" w14:textId="77777777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Naprawa ma się odbywać w siedzibie Zamawiającego, chyba że Zamawiający dla danej naprawy zgodzi się na inną formę.</w:t>
      </w:r>
    </w:p>
    <w:p w14:paraId="2D8C7F97" w14:textId="77777777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Zgłoszenie jest potwierdzane niezwłocznie przez zespół pomocy technicznej (mail/telefon / aplikacja / portal) przez nadanie unikalnego numeru zgłoszenia pozwalającego na identyfikację zgłoszenia w trakcie realizacji naprawy i po jej zakończeniu.</w:t>
      </w:r>
    </w:p>
    <w:p w14:paraId="0207A185" w14:textId="77777777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Wykonawca zapewni nieodpłatne udostępnienie narzędzi serwisowych i procesów wsparcia umożliwiających:</w:t>
      </w:r>
    </w:p>
    <w:p w14:paraId="79CC20BD" w14:textId="77777777" w:rsidR="00EB1FE9" w:rsidRPr="001F50FB" w:rsidRDefault="00EB1FE9" w:rsidP="00EB1FE9">
      <w:pPr>
        <w:numPr>
          <w:ilvl w:val="2"/>
          <w:numId w:val="1"/>
        </w:numPr>
        <w:spacing w:before="240" w:after="120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wykrywanie usterek sprzętowych z predykcją awarii;</w:t>
      </w:r>
    </w:p>
    <w:p w14:paraId="2710E00F" w14:textId="77777777" w:rsidR="00EB1FE9" w:rsidRPr="001F50FB" w:rsidRDefault="00EB1FE9" w:rsidP="00EB1FE9">
      <w:pPr>
        <w:numPr>
          <w:ilvl w:val="2"/>
          <w:numId w:val="1"/>
        </w:numPr>
        <w:spacing w:before="240" w:after="120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automatyczną diagnostykę i zdalne otwieranie zgłoszeń serwisowych.</w:t>
      </w:r>
    </w:p>
    <w:p w14:paraId="4D70717F" w14:textId="77777777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lastRenderedPageBreak/>
        <w:t>W przypadku wystąpienia awarii dysku twardego w urządzeniu objętym aktywnym serwisem, uszkodzony dysk twardy pozostaje własnością Zamawiającego i pozostaje u niego. Wykonawca zobowiązany jest dostarczyć nowy dysk na własny koszt.</w:t>
      </w:r>
    </w:p>
    <w:p w14:paraId="6DBEEB01" w14:textId="28C61A72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 xml:space="preserve">Zamawiający wymaga dołączenia do oferty oświadczenia Producenta potwierdzającego, że Serwis </w:t>
      </w:r>
      <w:r w:rsidR="000C2AEA">
        <w:rPr>
          <w:rFonts w:asciiTheme="minorHAnsi" w:eastAsia="Calibri" w:hAnsiTheme="minorHAnsi" w:cstheme="minorHAnsi"/>
          <w:noProof/>
          <w:sz w:val="22"/>
          <w:szCs w:val="22"/>
        </w:rPr>
        <w:t>techniczny</w:t>
      </w:r>
      <w:r w:rsidR="000C2AEA" w:rsidRPr="001F50FB">
        <w:rPr>
          <w:rFonts w:asciiTheme="minorHAnsi" w:eastAsia="Calibri" w:hAnsiTheme="minorHAnsi" w:cstheme="minorHAnsi"/>
          <w:noProof/>
          <w:sz w:val="22"/>
          <w:szCs w:val="22"/>
        </w:rPr>
        <w:t xml:space="preserve"> </w:t>
      </w: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dostarczonych urządzeń będzie realizowany we współpracy z Producentem lub z Autoryzowanym Partnerem Serwisowym Producenta.</w:t>
      </w:r>
    </w:p>
    <w:p w14:paraId="504A6559" w14:textId="77777777" w:rsidR="00EB1FE9" w:rsidRPr="001F50FB" w:rsidRDefault="00EB1FE9" w:rsidP="00EB1FE9">
      <w:pPr>
        <w:keepNext/>
        <w:numPr>
          <w:ilvl w:val="0"/>
          <w:numId w:val="1"/>
        </w:numPr>
        <w:spacing w:before="240" w:after="120"/>
        <w:ind w:left="357" w:hanging="357"/>
        <w:jc w:val="both"/>
        <w:outlineLvl w:val="1"/>
        <w:rPr>
          <w:rFonts w:asciiTheme="minorHAnsi" w:eastAsia="Calibri" w:hAnsiTheme="minorHAnsi" w:cstheme="minorHAnsi"/>
          <w:b/>
          <w:noProof/>
          <w:sz w:val="22"/>
          <w:szCs w:val="22"/>
          <w:lang w:bidi="fa-IR"/>
        </w:rPr>
      </w:pPr>
      <w:r w:rsidRPr="001F50FB">
        <w:rPr>
          <w:rFonts w:asciiTheme="minorHAnsi" w:eastAsia="Calibri" w:hAnsiTheme="minorHAnsi" w:cstheme="minorHAnsi"/>
          <w:b/>
          <w:noProof/>
          <w:sz w:val="22"/>
          <w:szCs w:val="22"/>
          <w:lang w:bidi="fa-IR"/>
        </w:rPr>
        <w:t>Serwis</w:t>
      </w:r>
      <w:r w:rsidRPr="001F50FB">
        <w:rPr>
          <w:rFonts w:asciiTheme="minorHAnsi" w:eastAsia="Calibri" w:hAnsiTheme="minorHAnsi" w:cstheme="minorHAnsi"/>
          <w:b/>
          <w:noProof/>
          <w:sz w:val="22"/>
          <w:szCs w:val="22"/>
        </w:rPr>
        <w:t xml:space="preserve"> oprogramowania VMware w ramach dostarczonych Licencji czasowych</w:t>
      </w:r>
    </w:p>
    <w:p w14:paraId="511ED508" w14:textId="77777777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W ramach dostarczenia 12 miesięcznych licencji czasowych do oprogramowania VMware vSphere Foundation, Wykonawca zobowiązuje się zapewnić następujące usługi:</w:t>
      </w:r>
    </w:p>
    <w:p w14:paraId="26DF7B9C" w14:textId="77777777" w:rsidR="00EB1FE9" w:rsidRPr="001F50FB" w:rsidRDefault="00EB1FE9" w:rsidP="00EB1FE9">
      <w:pPr>
        <w:numPr>
          <w:ilvl w:val="2"/>
          <w:numId w:val="1"/>
        </w:numPr>
        <w:spacing w:before="240" w:after="120"/>
        <w:ind w:left="1418" w:hanging="646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zgłaszanie nielimitowanej liczby zgłoszeń: telefon/mail/web;</w:t>
      </w:r>
    </w:p>
    <w:p w14:paraId="6695D222" w14:textId="77777777" w:rsidR="00EB1FE9" w:rsidRPr="001F50FB" w:rsidRDefault="00EB1FE9" w:rsidP="00EB1FE9">
      <w:pPr>
        <w:numPr>
          <w:ilvl w:val="2"/>
          <w:numId w:val="1"/>
        </w:numPr>
        <w:spacing w:before="240" w:after="120"/>
        <w:ind w:left="1418" w:hanging="646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odpowiedź: telefon/mail;</w:t>
      </w:r>
    </w:p>
    <w:p w14:paraId="1CAB409D" w14:textId="77777777" w:rsidR="00EB1FE9" w:rsidRPr="001F50FB" w:rsidRDefault="00EB1FE9" w:rsidP="00EB1FE9">
      <w:pPr>
        <w:numPr>
          <w:ilvl w:val="2"/>
          <w:numId w:val="1"/>
        </w:numPr>
        <w:spacing w:before="240" w:after="120"/>
        <w:ind w:left="1418" w:hanging="646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obsługa awarii w trybie 24/7/365;</w:t>
      </w:r>
    </w:p>
    <w:p w14:paraId="70DA8DD7" w14:textId="77777777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Czas reakcji na zgłoszenie w zależności od poziomu dotkliwości awarii:</w:t>
      </w:r>
    </w:p>
    <w:tbl>
      <w:tblPr>
        <w:tblStyle w:val="Tabela-Siatka1"/>
        <w:tblW w:w="8675" w:type="dxa"/>
        <w:tblInd w:w="534" w:type="dxa"/>
        <w:tblLook w:val="04A0" w:firstRow="1" w:lastRow="0" w:firstColumn="1" w:lastColumn="0" w:noHBand="0" w:noVBand="1"/>
      </w:tblPr>
      <w:tblGrid>
        <w:gridCol w:w="2293"/>
        <w:gridCol w:w="5250"/>
        <w:gridCol w:w="1132"/>
      </w:tblGrid>
      <w:tr w:rsidR="00EB1FE9" w:rsidRPr="001F50FB" w14:paraId="31F615D9" w14:textId="77777777" w:rsidTr="0008482B">
        <w:tc>
          <w:tcPr>
            <w:tcW w:w="2104" w:type="dxa"/>
            <w:vAlign w:val="center"/>
          </w:tcPr>
          <w:p w14:paraId="0B8063E6" w14:textId="77777777" w:rsidR="00EB1FE9" w:rsidRPr="001F50FB" w:rsidRDefault="00EB1FE9" w:rsidP="0008482B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eastAsia="zh-CN"/>
              </w:rPr>
              <w:t>Poziom</w:t>
            </w:r>
          </w:p>
        </w:tc>
        <w:tc>
          <w:tcPr>
            <w:tcW w:w="5425" w:type="dxa"/>
            <w:vAlign w:val="center"/>
          </w:tcPr>
          <w:p w14:paraId="57852C85" w14:textId="77777777" w:rsidR="00EB1FE9" w:rsidRPr="001F50FB" w:rsidRDefault="00EB1FE9" w:rsidP="0008482B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eastAsia="zh-CN"/>
              </w:rPr>
              <w:t>Opis</w:t>
            </w:r>
          </w:p>
        </w:tc>
        <w:tc>
          <w:tcPr>
            <w:tcW w:w="1146" w:type="dxa"/>
          </w:tcPr>
          <w:p w14:paraId="2B09CC79" w14:textId="77777777" w:rsidR="00EB1FE9" w:rsidRPr="001F50FB" w:rsidRDefault="00EB1FE9" w:rsidP="0008482B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eastAsia="zh-CN"/>
              </w:rPr>
              <w:t>Czas reakcji:</w:t>
            </w:r>
          </w:p>
        </w:tc>
      </w:tr>
      <w:tr w:rsidR="00EB1FE9" w:rsidRPr="001F50FB" w14:paraId="40FAF0A7" w14:textId="77777777" w:rsidTr="0008482B">
        <w:tc>
          <w:tcPr>
            <w:tcW w:w="2104" w:type="dxa"/>
          </w:tcPr>
          <w:p w14:paraId="48B10225" w14:textId="77777777" w:rsidR="00EB1FE9" w:rsidRPr="001F50FB" w:rsidRDefault="00EB1FE9" w:rsidP="0008482B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Critical/Krytyczny </w:t>
            </w:r>
          </w:p>
        </w:tc>
        <w:tc>
          <w:tcPr>
            <w:tcW w:w="5425" w:type="dxa"/>
            <w:vAlign w:val="center"/>
          </w:tcPr>
          <w:p w14:paraId="49AC16E3" w14:textId="77777777" w:rsidR="00EB1FE9" w:rsidRPr="001F50FB" w:rsidRDefault="00EB1FE9" w:rsidP="0008482B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eastAsia="zh-CN"/>
              </w:rPr>
            </w:pP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  <w:lang w:eastAsia="zh-CN"/>
              </w:rPr>
              <w:t>System nie działa, brak możliwości korzystania z jakiejkolwiek funkcji, krytyczny wpływ na zdolność do produkowania/świadczenia usług przy jego pomocy. Konieczne jest jak najszybsze stworzenie obejścia problemu w celu przywrócenia częściowej lub pełnej zdolności do pracy.</w:t>
            </w:r>
          </w:p>
        </w:tc>
        <w:tc>
          <w:tcPr>
            <w:tcW w:w="1146" w:type="dxa"/>
          </w:tcPr>
          <w:p w14:paraId="69F6ED4F" w14:textId="77777777" w:rsidR="00EB1FE9" w:rsidRPr="001F50FB" w:rsidRDefault="00EB1FE9" w:rsidP="0008482B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</w:rPr>
              <w:t>60 minut</w:t>
            </w:r>
          </w:p>
        </w:tc>
      </w:tr>
      <w:tr w:rsidR="00EB1FE9" w:rsidRPr="001F50FB" w14:paraId="7E6364EB" w14:textId="77777777" w:rsidTr="0008482B">
        <w:tc>
          <w:tcPr>
            <w:tcW w:w="2104" w:type="dxa"/>
          </w:tcPr>
          <w:p w14:paraId="75EF014B" w14:textId="77777777" w:rsidR="00EB1FE9" w:rsidRPr="001F50FB" w:rsidRDefault="00EB1FE9" w:rsidP="0008482B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</w:rPr>
              <w:t>Major/</w:t>
            </w: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  <w:lang w:eastAsia="zh-CN"/>
              </w:rPr>
              <w:t>Istotny</w:t>
            </w: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5425" w:type="dxa"/>
            <w:vAlign w:val="center"/>
          </w:tcPr>
          <w:p w14:paraId="6D119726" w14:textId="77777777" w:rsidR="00EB1FE9" w:rsidRPr="001F50FB" w:rsidRDefault="00EB1FE9" w:rsidP="0008482B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eastAsia="zh-CN"/>
              </w:rPr>
            </w:pP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  <w:lang w:eastAsia="zh-CN"/>
              </w:rPr>
              <w:t xml:space="preserve">System częściowo sprawny, </w:t>
            </w: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</w:rPr>
              <w:t>uszkodzona</w:t>
            </w: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  <w:lang w:eastAsia="zh-CN"/>
              </w:rPr>
              <w:t xml:space="preserve"> funkcjonalność w istotnym stopniu pogarsza / ogranicza zdolność do produkowania/świadczenia usług przy jego pomocy.</w:t>
            </w: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  <w:lang w:eastAsia="zh-CN"/>
              </w:rPr>
              <w:br/>
              <w:t>Konieczne jest jak najszybsze stworzenie obejścia problemu w celu przywrócenia częściowej lub pełnej zdolności do pracy.</w:t>
            </w:r>
          </w:p>
        </w:tc>
        <w:tc>
          <w:tcPr>
            <w:tcW w:w="1146" w:type="dxa"/>
          </w:tcPr>
          <w:p w14:paraId="56E08537" w14:textId="77777777" w:rsidR="00EB1FE9" w:rsidRPr="001F50FB" w:rsidRDefault="00EB1FE9" w:rsidP="0008482B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</w:rPr>
              <w:t>2 godziny robocze</w:t>
            </w:r>
          </w:p>
        </w:tc>
      </w:tr>
      <w:tr w:rsidR="00EB1FE9" w:rsidRPr="001F50FB" w14:paraId="05CA74BE" w14:textId="77777777" w:rsidTr="0008482B">
        <w:tc>
          <w:tcPr>
            <w:tcW w:w="2104" w:type="dxa"/>
          </w:tcPr>
          <w:p w14:paraId="462398B0" w14:textId="77777777" w:rsidR="00EB1FE9" w:rsidRPr="001F50FB" w:rsidRDefault="00EB1FE9" w:rsidP="0008482B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</w:rPr>
              <w:t>Minor/Uciążliwy</w:t>
            </w:r>
          </w:p>
        </w:tc>
        <w:tc>
          <w:tcPr>
            <w:tcW w:w="5425" w:type="dxa"/>
            <w:vAlign w:val="center"/>
          </w:tcPr>
          <w:p w14:paraId="5EA56197" w14:textId="77777777" w:rsidR="00EB1FE9" w:rsidRPr="001F50FB" w:rsidRDefault="00EB1FE9" w:rsidP="0008482B">
            <w:pPr>
              <w:rPr>
                <w:rFonts w:asciiTheme="minorHAnsi" w:hAnsiTheme="minorHAnsi" w:cstheme="minorHAnsi"/>
                <w:noProof/>
                <w:sz w:val="22"/>
                <w:szCs w:val="22"/>
                <w:lang w:eastAsia="zh-CN"/>
              </w:rPr>
            </w:pP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  <w:lang w:eastAsia="zh-CN"/>
              </w:rPr>
              <w:t>System sprawny, wydajność i pojemność nie są ograniczone z powodu awarii, jednak zaobserwowana nieprawidłowość skutkuje niższym komfortem pracy lub eksploatacji.</w:t>
            </w:r>
          </w:p>
        </w:tc>
        <w:tc>
          <w:tcPr>
            <w:tcW w:w="1146" w:type="dxa"/>
          </w:tcPr>
          <w:p w14:paraId="099DCCE7" w14:textId="77777777" w:rsidR="00EB1FE9" w:rsidRPr="001F50FB" w:rsidRDefault="00EB1FE9" w:rsidP="0008482B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</w:rPr>
              <w:t>4 godziny robocze</w:t>
            </w:r>
          </w:p>
        </w:tc>
      </w:tr>
      <w:tr w:rsidR="00EB1FE9" w:rsidRPr="001F50FB" w14:paraId="2D4DB351" w14:textId="77777777" w:rsidTr="0008482B">
        <w:tc>
          <w:tcPr>
            <w:tcW w:w="2104" w:type="dxa"/>
          </w:tcPr>
          <w:p w14:paraId="42ED40B1" w14:textId="77777777" w:rsidR="00EB1FE9" w:rsidRPr="001F50FB" w:rsidRDefault="00EB1FE9" w:rsidP="0008482B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</w:rPr>
              <w:t>Cosmetic/Kosmetyczny</w:t>
            </w:r>
          </w:p>
        </w:tc>
        <w:tc>
          <w:tcPr>
            <w:tcW w:w="5425" w:type="dxa"/>
            <w:vAlign w:val="center"/>
          </w:tcPr>
          <w:p w14:paraId="22D78B76" w14:textId="77777777" w:rsidR="00EB1FE9" w:rsidRPr="001F50FB" w:rsidRDefault="00EB1FE9" w:rsidP="0008482B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eastAsia="zh-CN"/>
              </w:rPr>
            </w:pP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  <w:lang w:eastAsia="zh-CN"/>
              </w:rPr>
              <w:t>System sprawny, zaobserwowano drobne niedoskonałości nie wpływające na funkcjonalność, np. dotyczące wyglądu interfejsu użytkownika. Ewentualnie powstały wątpliwości lub pytania, związane z działaniem systemu /produktu lub potrzeba konsultacji.</w:t>
            </w:r>
          </w:p>
        </w:tc>
        <w:tc>
          <w:tcPr>
            <w:tcW w:w="1146" w:type="dxa"/>
          </w:tcPr>
          <w:p w14:paraId="420DFA72" w14:textId="77777777" w:rsidR="00EB1FE9" w:rsidRPr="001F50FB" w:rsidRDefault="00EB1FE9" w:rsidP="0008482B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F50FB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24 godziny robocze </w:t>
            </w:r>
          </w:p>
        </w:tc>
      </w:tr>
    </w:tbl>
    <w:p w14:paraId="18E50458" w14:textId="77777777" w:rsidR="00EB1FE9" w:rsidRPr="001F50FB" w:rsidRDefault="00EB1FE9" w:rsidP="00EB1FE9">
      <w:pPr>
        <w:keepNext/>
        <w:numPr>
          <w:ilvl w:val="0"/>
          <w:numId w:val="1"/>
        </w:numPr>
        <w:spacing w:before="240" w:after="120"/>
        <w:ind w:left="357" w:hanging="357"/>
        <w:jc w:val="both"/>
        <w:outlineLvl w:val="1"/>
        <w:rPr>
          <w:rFonts w:asciiTheme="minorHAnsi" w:eastAsia="Calibri" w:hAnsiTheme="minorHAnsi" w:cstheme="minorHAnsi"/>
          <w:b/>
          <w:noProof/>
          <w:sz w:val="22"/>
          <w:szCs w:val="22"/>
          <w:lang w:bidi="fa-IR"/>
        </w:rPr>
      </w:pPr>
      <w:r w:rsidRPr="001F50FB">
        <w:rPr>
          <w:rFonts w:asciiTheme="minorHAnsi" w:eastAsia="Calibri" w:hAnsiTheme="minorHAnsi" w:cstheme="minorHAnsi"/>
          <w:b/>
          <w:noProof/>
          <w:sz w:val="22"/>
          <w:szCs w:val="22"/>
          <w:lang w:bidi="fa-IR"/>
        </w:rPr>
        <w:t>Obowiązki Wykonawcy w ramach wdrożenia</w:t>
      </w:r>
    </w:p>
    <w:p w14:paraId="7553C121" w14:textId="3393F124" w:rsidR="00EB1FE9" w:rsidRPr="00E20DCA" w:rsidRDefault="00EB1FE9" w:rsidP="00E20DCA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Instalacja serwerów kasetowych we wskazanych przez Zamawiającego obudowach</w:t>
      </w:r>
      <w:r w:rsidR="000B4DAB">
        <w:rPr>
          <w:rFonts w:asciiTheme="minorHAnsi" w:eastAsia="Calibri" w:hAnsiTheme="minorHAnsi" w:cstheme="minorHAnsi"/>
          <w:noProof/>
          <w:sz w:val="22"/>
          <w:szCs w:val="22"/>
        </w:rPr>
        <w:t xml:space="preserve"> </w:t>
      </w:r>
      <w:r w:rsidRPr="00E20DCA">
        <w:rPr>
          <w:rFonts w:asciiTheme="minorHAnsi" w:eastAsia="Calibri" w:hAnsiTheme="minorHAnsi" w:cstheme="minorHAnsi"/>
          <w:noProof/>
          <w:sz w:val="22"/>
          <w:szCs w:val="22"/>
        </w:rPr>
        <w:t>w dwóch serwerowniach znajdujących się na terenie Warszawy</w:t>
      </w:r>
      <w:r w:rsidR="008E40DF">
        <w:rPr>
          <w:rFonts w:asciiTheme="minorHAnsi" w:eastAsia="Calibri" w:hAnsiTheme="minorHAnsi" w:cstheme="minorHAnsi"/>
          <w:noProof/>
          <w:sz w:val="22"/>
          <w:szCs w:val="22"/>
        </w:rPr>
        <w:t>.</w:t>
      </w:r>
    </w:p>
    <w:p w14:paraId="2924FD96" w14:textId="77777777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Konfiguracja połączeń wewnętrznych pomiędzy serwerem kasetowym a obudową.</w:t>
      </w:r>
    </w:p>
    <w:p w14:paraId="0B211ADE" w14:textId="54B91FE7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Instalacja najnowszego oprogramowania firmware dla dostarczonych serwerów kasetowych. Zainstalowane oprogramowanie musi zapewniać utrzymanie komunikacji pomiędzy posiadaną przez Zamawiającego infrastrukturą IT, m.in. przełącznika LAN/SAN, macierz.</w:t>
      </w:r>
    </w:p>
    <w:p w14:paraId="1010730B" w14:textId="77777777" w:rsidR="00EB1FE9" w:rsidRPr="001F50FB" w:rsidRDefault="00EB1FE9" w:rsidP="00EB1FE9">
      <w:pPr>
        <w:numPr>
          <w:ilvl w:val="1"/>
          <w:numId w:val="1"/>
        </w:numPr>
        <w:spacing w:before="240" w:after="120"/>
        <w:ind w:left="788" w:hanging="431"/>
        <w:contextualSpacing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1F50FB">
        <w:rPr>
          <w:rFonts w:asciiTheme="minorHAnsi" w:eastAsia="Calibri" w:hAnsiTheme="minorHAnsi" w:cstheme="minorHAnsi"/>
          <w:noProof/>
          <w:sz w:val="22"/>
          <w:szCs w:val="22"/>
        </w:rPr>
        <w:t>Wykonanie dokumentacji powykonawczej w zakresie wdrożenia i rozbudowy Sprzętu. Dokumentacja musi zawierać m.in. opis połączeń LAN i SAN pomiędzy serwerami kasetowym a obudową.</w:t>
      </w:r>
    </w:p>
    <w:sectPr w:rsidR="00EB1FE9" w:rsidRPr="001F50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0095"/>
    <w:multiLevelType w:val="multilevel"/>
    <w:tmpl w:val="B7441F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13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6915BF7"/>
    <w:multiLevelType w:val="hybridMultilevel"/>
    <w:tmpl w:val="D3FAC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80CDA"/>
    <w:multiLevelType w:val="hybridMultilevel"/>
    <w:tmpl w:val="52307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C3611A"/>
    <w:multiLevelType w:val="hybridMultilevel"/>
    <w:tmpl w:val="FA286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FE9"/>
    <w:rsid w:val="000B4DAB"/>
    <w:rsid w:val="000C2AEA"/>
    <w:rsid w:val="00145AAB"/>
    <w:rsid w:val="00234AA2"/>
    <w:rsid w:val="003B0D85"/>
    <w:rsid w:val="005835EE"/>
    <w:rsid w:val="00655D84"/>
    <w:rsid w:val="008E40DF"/>
    <w:rsid w:val="00A561E8"/>
    <w:rsid w:val="00C821EE"/>
    <w:rsid w:val="00CA09CC"/>
    <w:rsid w:val="00E20DCA"/>
    <w:rsid w:val="00EA3493"/>
    <w:rsid w:val="00EB1FE9"/>
    <w:rsid w:val="00ED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7505F"/>
  <w15:chartTrackingRefBased/>
  <w15:docId w15:val="{5B1AB08D-C5E0-4A18-9242-BE71A359F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AssecoTabela-Siatka2">
    <w:name w:val="Asseco Tabela - Siatka2"/>
    <w:basedOn w:val="Standardowy"/>
    <w:next w:val="Tabela-Siatka"/>
    <w:uiPriority w:val="39"/>
    <w:rsid w:val="00EB1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B1F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B1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pec.org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C0EE8DF826E47DA90BE72F9FD180B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6EF756-935D-4201-A620-3150E30BC488}"/>
      </w:docPartPr>
      <w:docPartBody>
        <w:p w:rsidR="00DF155B" w:rsidRDefault="00DE00CF" w:rsidP="00DE00CF">
          <w:pPr>
            <w:pStyle w:val="DC0EE8DF826E47DA90BE72F9FD180B26"/>
          </w:pPr>
          <w:r w:rsidRPr="006E72BA"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0CF"/>
    <w:rsid w:val="004D2196"/>
    <w:rsid w:val="008170F7"/>
    <w:rsid w:val="00D53712"/>
    <w:rsid w:val="00DE00CF"/>
    <w:rsid w:val="00DF155B"/>
    <w:rsid w:val="00FC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C0EE8DF826E47DA90BE72F9FD180B26">
    <w:name w:val="DC0EE8DF826E47DA90BE72F9FD180B26"/>
    <w:rsid w:val="00DE00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1613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Rozbudowa obecnie posiadanego środowiska serwerów Blade</dc:title>
  <dc:subject/>
  <dc:creator>Bednarczyk Michał</dc:creator>
  <cp:keywords/>
  <dc:description/>
  <cp:lastModifiedBy>Kulas Jerzy</cp:lastModifiedBy>
  <cp:revision>7</cp:revision>
  <cp:lastPrinted>2026-03-30T09:33:00Z</cp:lastPrinted>
  <dcterms:created xsi:type="dcterms:W3CDTF">2026-03-30T08:41:00Z</dcterms:created>
  <dcterms:modified xsi:type="dcterms:W3CDTF">2026-04-21T11:55:00Z</dcterms:modified>
</cp:coreProperties>
</file>